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694" w:rsidRDefault="00284694" w:rsidP="00284694">
      <w:pPr>
        <w:rPr>
          <w:rFonts w:eastAsia="Times New Roman"/>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284694" w:rsidTr="00284694">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284694">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284694" w:rsidTr="00284694">
                    <w:trPr>
                      <w:tblCellSpacing w:w="0" w:type="dxa"/>
                    </w:trPr>
                    <w:tc>
                      <w:tcPr>
                        <w:tcW w:w="0" w:type="auto"/>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284694">
                          <w:trPr>
                            <w:tblCellSpacing w:w="0" w:type="dxa"/>
                            <w:jc w:val="center"/>
                          </w:trPr>
                          <w:tc>
                            <w:tcPr>
                              <w:tcW w:w="75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7500"/>
                              </w:tblGrid>
                              <w:tr w:rsidR="00284694">
                                <w:trPr>
                                  <w:tblCellSpacing w:w="0" w:type="dxa"/>
                                  <w:jc w:val="center"/>
                                </w:trPr>
                                <w:tc>
                                  <w:tcPr>
                                    <w:tcW w:w="0" w:type="auto"/>
                                    <w:tcMar>
                                      <w:top w:w="75" w:type="dxa"/>
                                      <w:left w:w="0" w:type="dxa"/>
                                      <w:bottom w:w="75" w:type="dxa"/>
                                      <w:right w:w="0" w:type="dxa"/>
                                    </w:tcMar>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7500"/>
                                    </w:tblGrid>
                                    <w:tr w:rsidR="00284694">
                                      <w:trPr>
                                        <w:tblCellSpacing w:w="0" w:type="dxa"/>
                                        <w:jc w:val="center"/>
                                      </w:trPr>
                                      <w:tc>
                                        <w:tcPr>
                                          <w:tcW w:w="0" w:type="auto"/>
                                          <w:vAlign w:val="center"/>
                                          <w:hideMark/>
                                        </w:tcPr>
                                        <w:p w:rsidR="00284694" w:rsidRDefault="00284694">
                                          <w:pPr>
                                            <w:spacing w:line="0" w:lineRule="atLeast"/>
                                            <w:jc w:val="center"/>
                                            <w:rPr>
                                              <w:rFonts w:eastAsia="Times New Roman"/>
                                            </w:rPr>
                                          </w:pPr>
                                          <w:r>
                                            <w:rPr>
                                              <w:rFonts w:eastAsia="Times New Roman"/>
                                              <w:noProof/>
                                            </w:rPr>
                                            <w:drawing>
                                              <wp:inline distT="0" distB="0" distL="0" distR="0" wp14:anchorId="0E480ED8" wp14:editId="7D6E2A57">
                                                <wp:extent cx="4762500" cy="793750"/>
                                                <wp:effectExtent l="0" t="0" r="0" b="635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762500" cy="793750"/>
                                                        </a:xfrm>
                                                        <a:prstGeom prst="rect">
                                                          <a:avLst/>
                                                        </a:prstGeom>
                                                        <a:noFill/>
                                                        <a:ln>
                                                          <a:noFill/>
                                                        </a:ln>
                                                      </pic:spPr>
                                                    </pic:pic>
                                                  </a:graphicData>
                                                </a:graphic>
                                              </wp:inline>
                                            </w:drawing>
                                          </w:r>
                                        </w:p>
                                      </w:tc>
                                    </w:tr>
                                  </w:tbl>
                                  <w:p w:rsidR="00284694" w:rsidRDefault="00284694">
                                    <w:pPr>
                                      <w:textAlignment w:val="top"/>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7500"/>
                                    </w:tblGrid>
                                    <w:tr w:rsidR="00284694">
                                      <w:trPr>
                                        <w:tblCellSpacing w:w="0" w:type="dxa"/>
                                      </w:trPr>
                                      <w:tc>
                                        <w:tcPr>
                                          <w:tcW w:w="0" w:type="auto"/>
                                          <w:tcMar>
                                            <w:top w:w="150" w:type="dxa"/>
                                            <w:left w:w="150" w:type="dxa"/>
                                            <w:bottom w:w="150" w:type="dxa"/>
                                            <w:right w:w="150" w:type="dxa"/>
                                          </w:tcMar>
                                          <w:vAlign w:val="center"/>
                                          <w:hideMark/>
                                        </w:tcPr>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Dear Families,</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 </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The Livingston County Health Department has notified the district that it has determined that two of our schools, Howell High School and Hutchings Elementary, will appear on this week’s Michigan Department of Health and Human Services (MDHHS) School Outbreak report. An outbreak in the educational setting is two or more cases linked by time and place. </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 </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 xml:space="preserve">Howell High School will appear on the report three times. In each instance, the outbreak is limited to the original case when a student tested positive and one additional case of a student testing positive. In each of these instances, the two cases are linked by time and place, as </w:t>
                                          </w:r>
                                          <w:proofErr w:type="gramStart"/>
                                          <w:r>
                                            <w:rPr>
                                              <w:rFonts w:ascii="Arial" w:hAnsi="Arial" w:cs="Arial"/>
                                              <w:color w:val="000000"/>
                                              <w:sz w:val="21"/>
                                              <w:szCs w:val="20"/>
                                            </w:rPr>
                                            <w:t>such,</w:t>
                                          </w:r>
                                          <w:proofErr w:type="gramEnd"/>
                                          <w:r>
                                            <w:rPr>
                                              <w:rFonts w:ascii="Arial" w:hAnsi="Arial" w:cs="Arial"/>
                                              <w:color w:val="000000"/>
                                              <w:sz w:val="21"/>
                                              <w:szCs w:val="20"/>
                                            </w:rPr>
                                            <w:t xml:space="preserve"> these cases fit the criteria to be considered an outbreak.</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 </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Hutchings Elementary appears on the report based on a case involving a staff member and students. After the staff member tested positive, three students who were identified as close contacts of the staff member also tested positive. Since these cases are linked by time and place, this also fits the criteria to be considered an outbreak.</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 </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We have consulted with the Livingston County Health Department. At this time, they are comfortable with us continuing in-person learning, as they believe that contact tracing, quarantine efforts, and mitigation strategies have worked correctly and that the risk for further transmission linked to these cases is very low. We will continue to work in partnership with the Livingston County Health Department and follow their advice and guidance to ensure the safety of our students and staff.</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 </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As always, we must remain vigilant in following safety and good public health protocols. These include frequent handwashing, staying home when showing any signs of illness or with COVID-19 test results pending, and wearing a mask when in public spaces.</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 </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Sincerely,</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 xml:space="preserve">Erin J. MacGregor, </w:t>
                                          </w:r>
                                          <w:proofErr w:type="spellStart"/>
                                          <w:r>
                                            <w:rPr>
                                              <w:rFonts w:ascii="Arial" w:hAnsi="Arial" w:cs="Arial"/>
                                              <w:color w:val="000000"/>
                                              <w:sz w:val="21"/>
                                              <w:szCs w:val="20"/>
                                            </w:rPr>
                                            <w:t>Ed.S</w:t>
                                          </w:r>
                                          <w:proofErr w:type="spellEnd"/>
                                          <w:r>
                                            <w:rPr>
                                              <w:rFonts w:ascii="Arial" w:hAnsi="Arial" w:cs="Arial"/>
                                              <w:color w:val="000000"/>
                                              <w:sz w:val="21"/>
                                              <w:szCs w:val="20"/>
                                            </w:rPr>
                                            <w:t>.</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Superintendent</w:t>
                                          </w:r>
                                        </w:p>
                                        <w:p w:rsidR="00284694" w:rsidRDefault="00284694">
                                          <w:pPr>
                                            <w:pStyle w:val="NormalWeb"/>
                                            <w:spacing w:before="0" w:beforeAutospacing="0" w:after="0" w:afterAutospacing="0" w:line="240" w:lineRule="atLeast"/>
                                            <w:rPr>
                                              <w:rFonts w:ascii="Arial" w:hAnsi="Arial" w:cs="Arial"/>
                                              <w:color w:val="000000"/>
                                              <w:sz w:val="21"/>
                                              <w:szCs w:val="20"/>
                                            </w:rPr>
                                          </w:pPr>
                                          <w:r>
                                            <w:rPr>
                                              <w:rFonts w:ascii="Arial" w:hAnsi="Arial" w:cs="Arial"/>
                                              <w:color w:val="000000"/>
                                              <w:sz w:val="21"/>
                                              <w:szCs w:val="20"/>
                                            </w:rPr>
                                            <w:t>Howell Public Schools   </w:t>
                                          </w:r>
                                        </w:p>
                                      </w:tc>
                                    </w:tr>
                                  </w:tbl>
                                  <w:p w:rsidR="00284694" w:rsidRDefault="00284694">
                                    <w:pPr>
                                      <w:rPr>
                                        <w:rFonts w:eastAsia="Times New Roman"/>
                                        <w:sz w:val="20"/>
                                        <w:szCs w:val="20"/>
                                      </w:rPr>
                                    </w:pPr>
                                  </w:p>
                                </w:tc>
                              </w:tr>
                            </w:tbl>
                            <w:p w:rsidR="00284694" w:rsidRDefault="00284694">
                              <w:pPr>
                                <w:jc w:val="center"/>
                                <w:rPr>
                                  <w:rFonts w:eastAsia="Times New Roman"/>
                                  <w:sz w:val="20"/>
                                  <w:szCs w:val="20"/>
                                </w:rPr>
                              </w:pPr>
                            </w:p>
                          </w:tc>
                        </w:tr>
                      </w:tbl>
                      <w:p w:rsidR="00284694" w:rsidRDefault="00284694">
                        <w:pPr>
                          <w:jc w:val="center"/>
                          <w:rPr>
                            <w:rFonts w:eastAsia="Times New Roman"/>
                            <w:sz w:val="20"/>
                            <w:szCs w:val="20"/>
                          </w:rPr>
                        </w:pPr>
                      </w:p>
                    </w:tc>
                  </w:tr>
                  <w:tr w:rsidR="00284694" w:rsidTr="00284694">
                    <w:trPr>
                      <w:tblCellSpacing w:w="0" w:type="dxa"/>
                    </w:trPr>
                    <w:tc>
                      <w:tcPr>
                        <w:tcW w:w="0" w:type="auto"/>
                        <w:vAlign w:val="center"/>
                        <w:hideMark/>
                      </w:tcPr>
                      <w:tbl>
                        <w:tblPr>
                          <w:tblW w:w="7500" w:type="dxa"/>
                          <w:jc w:val="center"/>
                          <w:tblCellSpacing w:w="0" w:type="dxa"/>
                          <w:tblCellMar>
                            <w:left w:w="0" w:type="dxa"/>
                            <w:right w:w="0" w:type="dxa"/>
                          </w:tblCellMar>
                          <w:tblLook w:val="04A0" w:firstRow="1" w:lastRow="0" w:firstColumn="1" w:lastColumn="0" w:noHBand="0" w:noVBand="1"/>
                        </w:tblPr>
                        <w:tblGrid>
                          <w:gridCol w:w="7500"/>
                        </w:tblGrid>
                        <w:tr w:rsidR="00284694">
                          <w:trPr>
                            <w:tblCellSpacing w:w="0" w:type="dxa"/>
                            <w:jc w:val="center"/>
                          </w:trPr>
                          <w:tc>
                            <w:tcPr>
                              <w:tcW w:w="75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7500"/>
                              </w:tblGrid>
                              <w:tr w:rsidR="00284694">
                                <w:trPr>
                                  <w:tblCellSpacing w:w="0" w:type="dxa"/>
                                  <w:jc w:val="center"/>
                                </w:trPr>
                                <w:tc>
                                  <w:tcPr>
                                    <w:tcW w:w="0" w:type="auto"/>
                                    <w:tcMar>
                                      <w:top w:w="75" w:type="dxa"/>
                                      <w:left w:w="0" w:type="dxa"/>
                                      <w:bottom w:w="75" w:type="dxa"/>
                                      <w:right w:w="0" w:type="dxa"/>
                                    </w:tcMar>
                                    <w:vAlign w:val="center"/>
                                  </w:tcPr>
                                  <w:tbl>
                                    <w:tblPr>
                                      <w:tblW w:w="5000" w:type="pct"/>
                                      <w:tblCellMar>
                                        <w:left w:w="0" w:type="dxa"/>
                                        <w:right w:w="0" w:type="dxa"/>
                                      </w:tblCellMar>
                                      <w:tblLook w:val="04A0" w:firstRow="1" w:lastRow="0" w:firstColumn="1" w:lastColumn="0" w:noHBand="0" w:noVBand="1"/>
                                    </w:tblPr>
                                    <w:tblGrid>
                                      <w:gridCol w:w="7500"/>
                                    </w:tblGrid>
                                    <w:tr w:rsidR="00284694">
                                      <w:tc>
                                        <w:tcPr>
                                          <w:tcW w:w="0" w:type="auto"/>
                                          <w:hideMark/>
                                        </w:tcPr>
                                        <w:tbl>
                                          <w:tblPr>
                                            <w:tblW w:w="5000" w:type="pct"/>
                                            <w:jc w:val="center"/>
                                            <w:tblBorders>
                                              <w:top w:val="single" w:sz="6" w:space="0" w:color="005525"/>
                                            </w:tblBorders>
                                            <w:tblCellMar>
                                              <w:left w:w="0" w:type="dxa"/>
                                              <w:right w:w="0" w:type="dxa"/>
                                            </w:tblCellMar>
                                            <w:tblLook w:val="04A0" w:firstRow="1" w:lastRow="0" w:firstColumn="1" w:lastColumn="0" w:noHBand="0" w:noVBand="1"/>
                                          </w:tblPr>
                                          <w:tblGrid>
                                            <w:gridCol w:w="7500"/>
                                          </w:tblGrid>
                                          <w:tr w:rsidR="00284694">
                                            <w:trPr>
                                              <w:jc w:val="center"/>
                                            </w:trPr>
                                            <w:tc>
                                              <w:tcPr>
                                                <w:tcW w:w="0" w:type="auto"/>
                                                <w:tcBorders>
                                                  <w:top w:val="single" w:sz="6" w:space="0" w:color="005525"/>
                                                  <w:left w:val="nil"/>
                                                  <w:bottom w:val="nil"/>
                                                  <w:right w:val="nil"/>
                                                </w:tcBorders>
                                                <w:hideMark/>
                                              </w:tcPr>
                                              <w:p w:rsidR="00284694" w:rsidRDefault="00284694">
                                                <w:pPr>
                                                  <w:rPr>
                                                    <w:rFonts w:eastAsia="Times New Roman"/>
                                                    <w:sz w:val="20"/>
                                                    <w:szCs w:val="20"/>
                                                  </w:rPr>
                                                </w:pPr>
                                              </w:p>
                                            </w:tc>
                                          </w:tr>
                                        </w:tbl>
                                        <w:p w:rsidR="00284694" w:rsidRDefault="00284694">
                                          <w:pPr>
                                            <w:jc w:val="center"/>
                                            <w:rPr>
                                              <w:rFonts w:eastAsia="Times New Roman"/>
                                              <w:sz w:val="20"/>
                                              <w:szCs w:val="20"/>
                                            </w:rPr>
                                          </w:pPr>
                                        </w:p>
                                      </w:tc>
                                    </w:tr>
                                  </w:tbl>
                                  <w:p w:rsidR="00284694" w:rsidRDefault="00284694">
                                    <w:pPr>
                                      <w:textAlignment w:val="top"/>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7500"/>
                                    </w:tblGrid>
                                    <w:tr w:rsidR="00284694">
                                      <w:trPr>
                                        <w:tblCellSpacing w:w="0" w:type="dxa"/>
                                      </w:trPr>
                                      <w:tc>
                                        <w:tcPr>
                                          <w:tcW w:w="0" w:type="auto"/>
                                          <w:vAlign w:val="center"/>
                                          <w:hideMark/>
                                        </w:tcPr>
                                        <w:p w:rsidR="00284694" w:rsidRDefault="00284694">
                                          <w:pPr>
                                            <w:pStyle w:val="NormalWeb"/>
                                            <w:spacing w:before="0" w:beforeAutospacing="0" w:after="0" w:afterAutospacing="0" w:line="180" w:lineRule="atLeast"/>
                                            <w:jc w:val="center"/>
                                            <w:rPr>
                                              <w:rFonts w:ascii="Helvetica" w:hAnsi="Helvetica"/>
                                              <w:color w:val="555555"/>
                                              <w:sz w:val="15"/>
                                              <w:szCs w:val="15"/>
                                            </w:rPr>
                                          </w:pPr>
                                          <w:r>
                                            <w:rPr>
                                              <w:rFonts w:ascii="Helvetica" w:hAnsi="Helvetica"/>
                                              <w:color w:val="005525"/>
                                              <w:sz w:val="15"/>
                                              <w:szCs w:val="15"/>
                                            </w:rPr>
                                            <w:t>Howell Public Schools</w:t>
                                          </w:r>
                                        </w:p>
                                        <w:p w:rsidR="00284694" w:rsidRDefault="00284694">
                                          <w:pPr>
                                            <w:pStyle w:val="NormalWeb"/>
                                            <w:spacing w:before="0" w:beforeAutospacing="0" w:after="0" w:afterAutospacing="0" w:line="180" w:lineRule="atLeast"/>
                                            <w:jc w:val="center"/>
                                            <w:rPr>
                                              <w:rFonts w:ascii="Helvetica" w:hAnsi="Helvetica"/>
                                              <w:color w:val="555555"/>
                                              <w:sz w:val="15"/>
                                              <w:szCs w:val="15"/>
                                            </w:rPr>
                                          </w:pPr>
                                          <w:r>
                                            <w:rPr>
                                              <w:rFonts w:ascii="Helvetica" w:hAnsi="Helvetica"/>
                                              <w:color w:val="005525"/>
                                              <w:sz w:val="15"/>
                                              <w:szCs w:val="15"/>
                                            </w:rPr>
                                            <w:t>411 N. Highlander Way, Howell MI 48843</w:t>
                                          </w:r>
                                          <w:r>
                                            <w:rPr>
                                              <w:rFonts w:ascii="Helvetica" w:hAnsi="Helvetica"/>
                                              <w:color w:val="555555"/>
                                              <w:sz w:val="15"/>
                                              <w:szCs w:val="15"/>
                                            </w:rPr>
                                            <w:br/>
                                          </w:r>
                                          <w:r>
                                            <w:rPr>
                                              <w:rFonts w:ascii="Helvetica" w:hAnsi="Helvetica"/>
                                              <w:color w:val="005525"/>
                                              <w:sz w:val="15"/>
                                              <w:szCs w:val="15"/>
                                            </w:rPr>
                                            <w:t>517.548.6200</w:t>
                                          </w:r>
                                        </w:p>
                                      </w:tc>
                                    </w:tr>
                                  </w:tbl>
                                  <w:p w:rsidR="00284694" w:rsidRDefault="00284694">
                                    <w:pPr>
                                      <w:rPr>
                                        <w:rFonts w:eastAsia="Times New Roman"/>
                                        <w:sz w:val="20"/>
                                        <w:szCs w:val="20"/>
                                      </w:rPr>
                                    </w:pPr>
                                  </w:p>
                                </w:tc>
                              </w:tr>
                            </w:tbl>
                            <w:p w:rsidR="00284694" w:rsidRDefault="00284694">
                              <w:pPr>
                                <w:jc w:val="center"/>
                                <w:rPr>
                                  <w:rFonts w:eastAsia="Times New Roman"/>
                                  <w:sz w:val="20"/>
                                  <w:szCs w:val="20"/>
                                </w:rPr>
                              </w:pPr>
                            </w:p>
                          </w:tc>
                        </w:tr>
                      </w:tbl>
                      <w:p w:rsidR="00284694" w:rsidRDefault="00284694">
                        <w:pPr>
                          <w:jc w:val="center"/>
                          <w:rPr>
                            <w:rFonts w:eastAsia="Times New Roman"/>
                            <w:sz w:val="20"/>
                            <w:szCs w:val="20"/>
                          </w:rPr>
                        </w:pPr>
                      </w:p>
                    </w:tc>
                  </w:tr>
                </w:tbl>
                <w:p w:rsidR="00284694" w:rsidRDefault="00284694">
                  <w:pPr>
                    <w:jc w:val="center"/>
                    <w:rPr>
                      <w:rFonts w:eastAsia="Times New Roman"/>
                      <w:sz w:val="20"/>
                      <w:szCs w:val="20"/>
                    </w:rPr>
                  </w:pPr>
                </w:p>
              </w:tc>
            </w:tr>
          </w:tbl>
          <w:p w:rsidR="00284694" w:rsidRDefault="00284694">
            <w:pPr>
              <w:rPr>
                <w:rFonts w:eastAsia="Times New Roman"/>
                <w:sz w:val="20"/>
                <w:szCs w:val="20"/>
              </w:rPr>
            </w:pPr>
          </w:p>
        </w:tc>
        <w:bookmarkStart w:id="0" w:name="_GoBack"/>
        <w:bookmarkEnd w:id="0"/>
      </w:tr>
    </w:tbl>
    <w:p w:rsidR="00B060E9" w:rsidRDefault="00284694"/>
    <w:sectPr w:rsidR="00B06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W0tDAwNbW0sDQ1NzVX0lEKTi0uzszPAykwrAUAhFwHBiwAAAA="/>
  </w:docVars>
  <w:rsids>
    <w:rsidRoot w:val="00284694"/>
    <w:rsid w:val="002012B1"/>
    <w:rsid w:val="00215247"/>
    <w:rsid w:val="0028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9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694"/>
    <w:pPr>
      <w:spacing w:before="100" w:beforeAutospacing="1" w:after="100" w:afterAutospacing="1"/>
    </w:pPr>
  </w:style>
  <w:style w:type="paragraph" w:styleId="BalloonText">
    <w:name w:val="Balloon Text"/>
    <w:basedOn w:val="Normal"/>
    <w:link w:val="BalloonTextChar"/>
    <w:uiPriority w:val="99"/>
    <w:semiHidden/>
    <w:unhideWhenUsed/>
    <w:rsid w:val="00284694"/>
    <w:rPr>
      <w:rFonts w:ascii="Tahoma" w:hAnsi="Tahoma" w:cs="Tahoma"/>
      <w:sz w:val="16"/>
      <w:szCs w:val="16"/>
    </w:rPr>
  </w:style>
  <w:style w:type="character" w:customStyle="1" w:styleId="BalloonTextChar">
    <w:name w:val="Balloon Text Char"/>
    <w:basedOn w:val="DefaultParagraphFont"/>
    <w:link w:val="BalloonText"/>
    <w:uiPriority w:val="99"/>
    <w:semiHidden/>
    <w:rsid w:val="00284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69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694"/>
    <w:pPr>
      <w:spacing w:before="100" w:beforeAutospacing="1" w:after="100" w:afterAutospacing="1"/>
    </w:pPr>
  </w:style>
  <w:style w:type="paragraph" w:styleId="BalloonText">
    <w:name w:val="Balloon Text"/>
    <w:basedOn w:val="Normal"/>
    <w:link w:val="BalloonTextChar"/>
    <w:uiPriority w:val="99"/>
    <w:semiHidden/>
    <w:unhideWhenUsed/>
    <w:rsid w:val="00284694"/>
    <w:rPr>
      <w:rFonts w:ascii="Tahoma" w:hAnsi="Tahoma" w:cs="Tahoma"/>
      <w:sz w:val="16"/>
      <w:szCs w:val="16"/>
    </w:rPr>
  </w:style>
  <w:style w:type="character" w:customStyle="1" w:styleId="BalloonTextChar">
    <w:name w:val="Balloon Text Char"/>
    <w:basedOn w:val="DefaultParagraphFont"/>
    <w:link w:val="BalloonText"/>
    <w:uiPriority w:val="99"/>
    <w:semiHidden/>
    <w:rsid w:val="00284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0b442ff70bde86b3ebfda017026ce9b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King</dc:creator>
  <cp:lastModifiedBy>Jon King</cp:lastModifiedBy>
  <cp:revision>1</cp:revision>
  <dcterms:created xsi:type="dcterms:W3CDTF">2021-05-11T09:14:00Z</dcterms:created>
  <dcterms:modified xsi:type="dcterms:W3CDTF">2021-05-11T09:14:00Z</dcterms:modified>
</cp:coreProperties>
</file>