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DA36A1" w:rsidRPr="00DA36A1" w14:paraId="6F255760" w14:textId="77777777" w:rsidTr="00DA36A1">
        <w:trPr>
          <w:tblCellSpacing w:w="0" w:type="dxa"/>
          <w:jc w:val="center"/>
        </w:trPr>
        <w:tc>
          <w:tcPr>
            <w:tcW w:w="5000" w:type="pct"/>
            <w:tcMar>
              <w:top w:w="75" w:type="dxa"/>
              <w:left w:w="0" w:type="dxa"/>
              <w:bottom w:w="75" w:type="dxa"/>
              <w:right w:w="0" w:type="dxa"/>
            </w:tcMar>
          </w:tcPr>
          <w:tbl>
            <w:tblPr>
              <w:tblW w:w="5000" w:type="pct"/>
              <w:tblCellSpacing w:w="0" w:type="dxa"/>
              <w:tblCellMar>
                <w:left w:w="0" w:type="dxa"/>
                <w:right w:w="0" w:type="dxa"/>
              </w:tblCellMar>
              <w:tblLook w:val="04A0" w:firstRow="1" w:lastRow="0" w:firstColumn="1" w:lastColumn="0" w:noHBand="0" w:noVBand="1"/>
            </w:tblPr>
            <w:tblGrid>
              <w:gridCol w:w="10500"/>
            </w:tblGrid>
            <w:tr w:rsidR="00DA36A1" w:rsidRPr="00DA36A1" w14:paraId="61C52B3F" w14:textId="77777777">
              <w:trPr>
                <w:tblCellSpacing w:w="0" w:type="dxa"/>
              </w:trPr>
              <w:tc>
                <w:tcPr>
                  <w:tcW w:w="5000" w:type="pct"/>
                  <w:vAlign w:val="center"/>
                  <w:hideMark/>
                </w:tcPr>
                <w:p w14:paraId="6F17091A" w14:textId="77777777" w:rsidR="00DA36A1" w:rsidRPr="00DA36A1" w:rsidRDefault="00DA36A1" w:rsidP="00DA36A1">
                  <w:pPr>
                    <w:spacing w:after="0" w:line="150" w:lineRule="atLeast"/>
                    <w:rPr>
                      <w:rFonts w:ascii="Calibri" w:eastAsia="Calibri" w:hAnsi="Calibri" w:cs="Calibri"/>
                    </w:rPr>
                  </w:pPr>
                  <w:r w:rsidRPr="00DA36A1">
                    <w:rPr>
                      <w:rFonts w:ascii="Calibri" w:eastAsia="Calibri" w:hAnsi="Calibri" w:cs="Calibri"/>
                      <w:noProof/>
                    </w:rPr>
                    <w:drawing>
                      <wp:inline distT="0" distB="0" distL="0" distR="0" wp14:anchorId="0695E1C2" wp14:editId="3F0287E6">
                        <wp:extent cx="26670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tc>
            </w:tr>
          </w:tbl>
          <w:p w14:paraId="6418F304" w14:textId="77777777" w:rsidR="00DA36A1" w:rsidRPr="00DA36A1" w:rsidRDefault="00DA36A1" w:rsidP="00DA36A1">
            <w:pPr>
              <w:spacing w:after="0" w:line="240" w:lineRule="auto"/>
              <w:rPr>
                <w:rFonts w:ascii="Calibri" w:eastAsia="Calibri" w:hAnsi="Calibri" w:cs="Calibri"/>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500"/>
            </w:tblGrid>
            <w:tr w:rsidR="00DA36A1" w:rsidRPr="00DA36A1" w14:paraId="3FD3AC5B" w14:textId="77777777">
              <w:trPr>
                <w:tblCellSpacing w:w="0" w:type="dxa"/>
              </w:trPr>
              <w:tc>
                <w:tcPr>
                  <w:tcW w:w="5000" w:type="pct"/>
                  <w:tcMar>
                    <w:top w:w="150" w:type="dxa"/>
                    <w:left w:w="0" w:type="dxa"/>
                    <w:bottom w:w="0" w:type="dxa"/>
                    <w:right w:w="0" w:type="dxa"/>
                  </w:tcMar>
                  <w:vAlign w:val="center"/>
                  <w:hideMark/>
                </w:tcPr>
                <w:p w14:paraId="2C2FC635" w14:textId="77777777" w:rsidR="00DA36A1" w:rsidRPr="00DA36A1" w:rsidRDefault="00DA36A1" w:rsidP="00DA36A1">
                  <w:pPr>
                    <w:spacing w:after="0" w:line="150" w:lineRule="atLeast"/>
                    <w:jc w:val="center"/>
                    <w:rPr>
                      <w:rFonts w:ascii="Calibri" w:eastAsia="Calibri" w:hAnsi="Calibri" w:cs="Calibri"/>
                    </w:rPr>
                  </w:pPr>
                  <w:r w:rsidRPr="00DA36A1">
                    <w:rPr>
                      <w:rFonts w:ascii="Calibri" w:eastAsia="Calibri" w:hAnsi="Calibri" w:cs="Calibri"/>
                      <w:noProof/>
                    </w:rPr>
                    <w:drawing>
                      <wp:inline distT="0" distB="0" distL="0" distR="0" wp14:anchorId="5F2453C6" wp14:editId="0FAECF3D">
                        <wp:extent cx="6667500" cy="57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0" cy="57150"/>
                                </a:xfrm>
                                <a:prstGeom prst="rect">
                                  <a:avLst/>
                                </a:prstGeom>
                                <a:noFill/>
                                <a:ln>
                                  <a:noFill/>
                                </a:ln>
                              </pic:spPr>
                            </pic:pic>
                          </a:graphicData>
                        </a:graphic>
                      </wp:inline>
                    </w:drawing>
                  </w:r>
                </w:p>
              </w:tc>
            </w:tr>
          </w:tbl>
          <w:p w14:paraId="3687F560" w14:textId="77777777" w:rsidR="00DA36A1" w:rsidRPr="00DA36A1" w:rsidRDefault="00DA36A1" w:rsidP="00DA36A1">
            <w:pPr>
              <w:spacing w:after="0" w:line="240" w:lineRule="auto"/>
              <w:rPr>
                <w:rFonts w:ascii="Calibri" w:eastAsia="Calibri" w:hAnsi="Calibri" w:cs="Calibri"/>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500"/>
            </w:tblGrid>
            <w:tr w:rsidR="00DA36A1" w:rsidRPr="00DA36A1" w14:paraId="7C055698" w14:textId="77777777">
              <w:trPr>
                <w:tblCellSpacing w:w="0" w:type="dxa"/>
              </w:trPr>
              <w:tc>
                <w:tcPr>
                  <w:tcW w:w="0" w:type="auto"/>
                  <w:tcMar>
                    <w:top w:w="375" w:type="dxa"/>
                    <w:left w:w="0" w:type="dxa"/>
                    <w:bottom w:w="150" w:type="dxa"/>
                    <w:right w:w="150" w:type="dxa"/>
                  </w:tcMar>
                  <w:vAlign w:val="center"/>
                  <w:hideMark/>
                </w:tcPr>
                <w:p w14:paraId="18DD474F" w14:textId="77777777" w:rsidR="00DA36A1" w:rsidRPr="00DA36A1" w:rsidRDefault="00DA36A1" w:rsidP="00DA36A1">
                  <w:pPr>
                    <w:spacing w:after="0" w:line="240" w:lineRule="auto"/>
                    <w:rPr>
                      <w:rFonts w:ascii="Helvetica" w:eastAsia="Calibri" w:hAnsi="Helvetica" w:cs="Helvetica"/>
                      <w:color w:val="000000"/>
                      <w:sz w:val="18"/>
                      <w:szCs w:val="18"/>
                    </w:rPr>
                  </w:pPr>
                  <w:r w:rsidRPr="00DA36A1">
                    <w:rPr>
                      <w:rFonts w:ascii="Helvetica" w:eastAsia="Calibri" w:hAnsi="Helvetica" w:cs="Helvetica"/>
                      <w:b/>
                      <w:bCs/>
                      <w:color w:val="000000"/>
                      <w:sz w:val="21"/>
                      <w:szCs w:val="21"/>
                    </w:rPr>
                    <w:t>FOR IMMEDIATE RELEASE: </w:t>
                  </w:r>
                  <w:r w:rsidRPr="00DA36A1">
                    <w:rPr>
                      <w:rFonts w:ascii="Helvetica" w:eastAsia="Calibri" w:hAnsi="Helvetica" w:cs="Helvetica"/>
                      <w:color w:val="000000"/>
                      <w:sz w:val="21"/>
                      <w:szCs w:val="21"/>
                    </w:rPr>
                    <w:t xml:space="preserve"> September 29, 2022</w:t>
                  </w:r>
                </w:p>
              </w:tc>
            </w:tr>
          </w:tbl>
          <w:p w14:paraId="73D80E8F" w14:textId="77777777" w:rsidR="00DA36A1" w:rsidRPr="00DA36A1" w:rsidRDefault="00DA36A1" w:rsidP="00DA36A1">
            <w:pPr>
              <w:spacing w:after="0" w:line="240" w:lineRule="auto"/>
              <w:rPr>
                <w:rFonts w:ascii="Calibri" w:eastAsia="Calibri" w:hAnsi="Calibri" w:cs="Calibri"/>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500"/>
            </w:tblGrid>
            <w:tr w:rsidR="00DA36A1" w:rsidRPr="00DA36A1" w14:paraId="3B988CFB" w14:textId="77777777">
              <w:trPr>
                <w:tblCellSpacing w:w="0" w:type="dxa"/>
              </w:trPr>
              <w:tc>
                <w:tcPr>
                  <w:tcW w:w="0" w:type="auto"/>
                  <w:tcMar>
                    <w:top w:w="150" w:type="dxa"/>
                    <w:left w:w="0" w:type="dxa"/>
                    <w:bottom w:w="150" w:type="dxa"/>
                    <w:right w:w="150" w:type="dxa"/>
                  </w:tcMar>
                  <w:vAlign w:val="center"/>
                  <w:hideMark/>
                </w:tcPr>
                <w:p w14:paraId="42B38234" w14:textId="77777777" w:rsidR="00DA36A1" w:rsidRPr="00DA36A1" w:rsidRDefault="00DA36A1" w:rsidP="00DA36A1">
                  <w:pPr>
                    <w:spacing w:after="0" w:line="240" w:lineRule="auto"/>
                    <w:rPr>
                      <w:rFonts w:ascii="Helvetica" w:eastAsia="Calibri" w:hAnsi="Helvetica" w:cs="Helvetica"/>
                      <w:color w:val="000000"/>
                      <w:sz w:val="21"/>
                      <w:szCs w:val="21"/>
                    </w:rPr>
                  </w:pPr>
                  <w:r w:rsidRPr="00DA36A1">
                    <w:rPr>
                      <w:rFonts w:ascii="Helvetica" w:eastAsia="Calibri" w:hAnsi="Helvetica" w:cs="Helvetica"/>
                      <w:color w:val="000000"/>
                      <w:sz w:val="21"/>
                      <w:szCs w:val="21"/>
                    </w:rPr>
                    <w:t>Jennifer Damon</w:t>
                  </w:r>
                  <w:r w:rsidRPr="00DA36A1">
                    <w:rPr>
                      <w:rFonts w:ascii="Helvetica" w:eastAsia="Calibri" w:hAnsi="Helvetica" w:cs="Helvetica"/>
                      <w:color w:val="000000"/>
                      <w:sz w:val="21"/>
                      <w:szCs w:val="21"/>
                    </w:rPr>
                    <w:br/>
                    <w:t>Director of Communications</w:t>
                  </w:r>
                </w:p>
                <w:p w14:paraId="7B96E146" w14:textId="77777777" w:rsidR="00DA36A1" w:rsidRPr="00DA36A1" w:rsidRDefault="00DA36A1" w:rsidP="00DA36A1">
                  <w:pPr>
                    <w:spacing w:after="0" w:line="240" w:lineRule="auto"/>
                    <w:rPr>
                      <w:rFonts w:ascii="Helvetica" w:eastAsia="Calibri" w:hAnsi="Helvetica" w:cs="Helvetica"/>
                      <w:color w:val="000000"/>
                      <w:sz w:val="21"/>
                      <w:szCs w:val="21"/>
                    </w:rPr>
                  </w:pPr>
                  <w:hyperlink r:id="rId6" w:tgtFrame="_blank" w:tooltip="JennDamon@LivingstonESA.org" w:history="1">
                    <w:r w:rsidRPr="00DA36A1">
                      <w:rPr>
                        <w:rFonts w:ascii="Helvetica" w:eastAsia="Calibri" w:hAnsi="Helvetica" w:cs="Helvetica"/>
                        <w:color w:val="000000"/>
                        <w:sz w:val="21"/>
                        <w:szCs w:val="21"/>
                        <w:u w:val="single"/>
                      </w:rPr>
                      <w:t>JennDamon@LivingstonESA.org</w:t>
                    </w:r>
                  </w:hyperlink>
                </w:p>
                <w:p w14:paraId="664D3935" w14:textId="77777777" w:rsidR="00DA36A1" w:rsidRPr="00DA36A1" w:rsidRDefault="00DA36A1" w:rsidP="00DA36A1">
                  <w:pPr>
                    <w:spacing w:after="0" w:line="240" w:lineRule="auto"/>
                    <w:rPr>
                      <w:rFonts w:ascii="Helvetica" w:eastAsia="Calibri" w:hAnsi="Helvetica" w:cs="Helvetica"/>
                      <w:color w:val="000000"/>
                      <w:sz w:val="21"/>
                      <w:szCs w:val="21"/>
                    </w:rPr>
                  </w:pPr>
                  <w:r w:rsidRPr="00DA36A1">
                    <w:rPr>
                      <w:rFonts w:ascii="Helvetica" w:eastAsia="Calibri" w:hAnsi="Helvetica" w:cs="Helvetica"/>
                      <w:color w:val="000000"/>
                      <w:sz w:val="21"/>
                      <w:szCs w:val="21"/>
                    </w:rPr>
                    <w:t>517.540.6820</w:t>
                  </w:r>
                </w:p>
              </w:tc>
            </w:tr>
          </w:tbl>
          <w:p w14:paraId="66655425" w14:textId="77777777" w:rsidR="00DA36A1" w:rsidRPr="00DA36A1" w:rsidRDefault="00DA36A1" w:rsidP="00DA36A1">
            <w:pPr>
              <w:spacing w:after="0" w:line="240" w:lineRule="auto"/>
              <w:rPr>
                <w:rFonts w:ascii="Calibri" w:eastAsia="Calibri" w:hAnsi="Calibri" w:cs="Calibri"/>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500"/>
            </w:tblGrid>
            <w:tr w:rsidR="00DA36A1" w:rsidRPr="00DA36A1" w14:paraId="0F485EF3" w14:textId="77777777">
              <w:trPr>
                <w:tblCellSpacing w:w="0" w:type="dxa"/>
              </w:trPr>
              <w:tc>
                <w:tcPr>
                  <w:tcW w:w="5000" w:type="pct"/>
                  <w:tcMar>
                    <w:top w:w="900" w:type="dxa"/>
                    <w:left w:w="0" w:type="dxa"/>
                    <w:bottom w:w="0" w:type="dxa"/>
                    <w:right w:w="0" w:type="dxa"/>
                  </w:tcMar>
                  <w:vAlign w:val="center"/>
                  <w:hideMark/>
                </w:tcPr>
                <w:p w14:paraId="5859FCE9" w14:textId="77777777" w:rsidR="00DA36A1" w:rsidRPr="00DA36A1" w:rsidRDefault="00DA36A1" w:rsidP="00DA36A1">
                  <w:pPr>
                    <w:spacing w:after="0" w:line="288" w:lineRule="auto"/>
                    <w:jc w:val="center"/>
                    <w:outlineLvl w:val="0"/>
                    <w:rPr>
                      <w:rFonts w:ascii="Helvetica" w:eastAsia="Calibri" w:hAnsi="Helvetica" w:cs="Helvetica"/>
                      <w:b/>
                      <w:bCs/>
                      <w:color w:val="603F98"/>
                      <w:kern w:val="36"/>
                      <w:sz w:val="27"/>
                      <w:szCs w:val="27"/>
                    </w:rPr>
                  </w:pPr>
                  <w:r w:rsidRPr="00DA36A1">
                    <w:rPr>
                      <w:rFonts w:ascii="Helvetica" w:eastAsia="Calibri" w:hAnsi="Helvetica" w:cs="Helvetica"/>
                      <w:b/>
                      <w:bCs/>
                      <w:color w:val="603F98"/>
                      <w:kern w:val="36"/>
                      <w:sz w:val="27"/>
                      <w:szCs w:val="27"/>
                    </w:rPr>
                    <w:t>Livingston Educational Service Agency Career &amp; College Readiness Coordinator Announced as National Award Finalist for the Association for Career &amp; Technical Education (ACTE) Counseling and Career Development Professional Award</w:t>
                  </w:r>
                </w:p>
              </w:tc>
            </w:tr>
          </w:tbl>
          <w:p w14:paraId="666F3DC2" w14:textId="77777777" w:rsidR="00DA36A1" w:rsidRPr="00DA36A1" w:rsidRDefault="00DA36A1" w:rsidP="00DA36A1">
            <w:pPr>
              <w:spacing w:after="0" w:line="240" w:lineRule="auto"/>
              <w:rPr>
                <w:rFonts w:ascii="Calibri" w:eastAsia="Calibri" w:hAnsi="Calibri" w:cs="Calibri"/>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500"/>
            </w:tblGrid>
            <w:tr w:rsidR="00DA36A1" w:rsidRPr="00DA36A1" w14:paraId="0B4068FB" w14:textId="77777777">
              <w:trPr>
                <w:tblCellSpacing w:w="0" w:type="dxa"/>
              </w:trPr>
              <w:tc>
                <w:tcPr>
                  <w:tcW w:w="0" w:type="auto"/>
                  <w:tcMar>
                    <w:top w:w="450" w:type="dxa"/>
                    <w:left w:w="0" w:type="dxa"/>
                    <w:bottom w:w="0" w:type="dxa"/>
                    <w:right w:w="0" w:type="dxa"/>
                  </w:tcMar>
                  <w:vAlign w:val="center"/>
                  <w:hideMark/>
                </w:tcPr>
                <w:p w14:paraId="54A11F21" w14:textId="77777777" w:rsidR="00DA36A1" w:rsidRPr="00DA36A1" w:rsidRDefault="00DA36A1" w:rsidP="00DA36A1">
                  <w:pPr>
                    <w:spacing w:after="240" w:line="360" w:lineRule="auto"/>
                    <w:rPr>
                      <w:rFonts w:ascii="Helvetica" w:eastAsia="Calibri" w:hAnsi="Helvetica" w:cs="Helvetica"/>
                      <w:color w:val="101112"/>
                      <w:sz w:val="21"/>
                      <w:szCs w:val="21"/>
                    </w:rPr>
                  </w:pPr>
                  <w:r w:rsidRPr="00DA36A1">
                    <w:rPr>
                      <w:rFonts w:ascii="Helvetica" w:eastAsia="Calibri" w:hAnsi="Helvetica" w:cs="Helvetica"/>
                      <w:b/>
                      <w:bCs/>
                      <w:color w:val="101112"/>
                      <w:sz w:val="21"/>
                      <w:szCs w:val="21"/>
                    </w:rPr>
                    <w:t>Howell, MI:</w:t>
                  </w:r>
                  <w:r w:rsidRPr="00DA36A1">
                    <w:rPr>
                      <w:rFonts w:ascii="Helvetica" w:eastAsia="Calibri" w:hAnsi="Helvetica" w:cs="Helvetica"/>
                      <w:color w:val="101112"/>
                      <w:sz w:val="21"/>
                      <w:szCs w:val="21"/>
                    </w:rPr>
                    <w:t xml:space="preserve">   The Association for Career and Technical Education (ACTE) announced Laura Saline, Career and College Readiness Coordinator for Livingston Educational Service Agency, as the 2022 ACTE Region I Counseling and Career Development Professional finalist. </w:t>
                  </w:r>
                </w:p>
                <w:p w14:paraId="44342528" w14:textId="77777777" w:rsidR="00DA36A1" w:rsidRPr="00DA36A1" w:rsidRDefault="00DA36A1" w:rsidP="00DA36A1">
                  <w:pPr>
                    <w:spacing w:after="240" w:line="360" w:lineRule="auto"/>
                    <w:rPr>
                      <w:rFonts w:ascii="Helvetica" w:eastAsia="Calibri" w:hAnsi="Helvetica" w:cs="Helvetica"/>
                      <w:color w:val="101112"/>
                      <w:sz w:val="21"/>
                      <w:szCs w:val="21"/>
                    </w:rPr>
                  </w:pPr>
                  <w:r w:rsidRPr="00DA36A1">
                    <w:rPr>
                      <w:rFonts w:ascii="Helvetica" w:eastAsia="Calibri" w:hAnsi="Helvetica" w:cs="Helvetica"/>
                      <w:color w:val="101112"/>
                      <w:sz w:val="21"/>
                      <w:szCs w:val="21"/>
                    </w:rPr>
                    <w:t>The ACTE Counseling and Career Development Professional Award recognizes the finest Career and Technical Education (CTE) educators at the middle and secondary school levels who have demonstrated innovation in the classroom, commitment to their students, and dedication to improving CTE in their schools and communities. </w:t>
                  </w:r>
                </w:p>
                <w:p w14:paraId="1F824627" w14:textId="77777777" w:rsidR="00DA36A1" w:rsidRPr="00DA36A1" w:rsidRDefault="00DA36A1" w:rsidP="00DA36A1">
                  <w:pPr>
                    <w:spacing w:after="240" w:line="360" w:lineRule="auto"/>
                    <w:rPr>
                      <w:rFonts w:ascii="Helvetica" w:eastAsia="Calibri" w:hAnsi="Helvetica" w:cs="Helvetica"/>
                      <w:color w:val="101112"/>
                      <w:sz w:val="21"/>
                      <w:szCs w:val="21"/>
                    </w:rPr>
                  </w:pPr>
                  <w:r w:rsidRPr="00DA36A1">
                    <w:rPr>
                      <w:rFonts w:ascii="Helvetica" w:eastAsia="Calibri" w:hAnsi="Helvetica" w:cs="Helvetica"/>
                      <w:color w:val="101112"/>
                      <w:sz w:val="21"/>
                      <w:szCs w:val="21"/>
                    </w:rPr>
                    <w:t>As the Career and College Readiness Coordinator for Livingston ESA, Laura has shown her commitment to working with students K-12 in Livingston County through her membership in two local districts’ Post-Secondary Advisory Councils (PAC), which support career and college goals for students, including MI College Month Activities, FAFSA Completion, and grant writing to support career exploration activities and her activity as a member of several local area chambers and school leadership teams.</w:t>
                  </w:r>
                </w:p>
                <w:p w14:paraId="63C9F8BE" w14:textId="77777777" w:rsidR="00DA36A1" w:rsidRPr="00DA36A1" w:rsidRDefault="00DA36A1" w:rsidP="00DA36A1">
                  <w:pPr>
                    <w:spacing w:after="240" w:line="360" w:lineRule="auto"/>
                    <w:rPr>
                      <w:rFonts w:ascii="Helvetica" w:eastAsia="Calibri" w:hAnsi="Helvetica" w:cs="Helvetica"/>
                      <w:color w:val="101112"/>
                      <w:sz w:val="21"/>
                      <w:szCs w:val="21"/>
                    </w:rPr>
                  </w:pPr>
                  <w:r w:rsidRPr="00DA36A1">
                    <w:rPr>
                      <w:rFonts w:ascii="Helvetica" w:eastAsia="Calibri" w:hAnsi="Helvetica" w:cs="Helvetica"/>
                      <w:color w:val="101112"/>
                      <w:sz w:val="21"/>
                      <w:szCs w:val="21"/>
                    </w:rPr>
                    <w:t xml:space="preserve">Laura is passionate about building partnerships with community and industry leaders, local districts, MI Works SE, Ann Arbor Spark, Workforce Intelligence Network (WIN), and post-secondary partners, and has increased work-based learning opportunities for CTE students and enhanced advisory membership and participation. She leads several groups, including Lead counselors, Financial Readiness Action Team (FRAT), the Local Career and College Access Network (LCCAN), and provides county-wide counselor professional development.  </w:t>
                  </w:r>
                </w:p>
                <w:p w14:paraId="5658822A" w14:textId="77777777" w:rsidR="00DA36A1" w:rsidRPr="00DA36A1" w:rsidRDefault="00DA36A1" w:rsidP="00DA36A1">
                  <w:pPr>
                    <w:spacing w:after="240" w:line="360" w:lineRule="auto"/>
                    <w:rPr>
                      <w:rFonts w:ascii="Helvetica" w:eastAsia="Calibri" w:hAnsi="Helvetica" w:cs="Helvetica"/>
                      <w:color w:val="101112"/>
                      <w:sz w:val="21"/>
                      <w:szCs w:val="21"/>
                    </w:rPr>
                  </w:pPr>
                  <w:r w:rsidRPr="00DA36A1">
                    <w:rPr>
                      <w:rFonts w:ascii="Helvetica" w:eastAsia="Calibri" w:hAnsi="Helvetica" w:cs="Helvetica"/>
                      <w:color w:val="101112"/>
                      <w:sz w:val="21"/>
                      <w:szCs w:val="21"/>
                    </w:rPr>
                    <w:lastRenderedPageBreak/>
                    <w:t>Laura works with CTE teachers and students throughout Livingston County to increase connections with industry partners, including company tours, job shadowing, and internship opportunities, connects students with employers through an education and employer network, and provides workshop opportunities to students in CTE programs on using LinkedIn, résumé writing, interview preparation, the use of career exploration tools.  </w:t>
                  </w:r>
                </w:p>
                <w:p w14:paraId="1C8669BD" w14:textId="77777777" w:rsidR="00DA36A1" w:rsidRPr="00DA36A1" w:rsidRDefault="00DA36A1" w:rsidP="00DA36A1">
                  <w:pPr>
                    <w:spacing w:after="240" w:line="360" w:lineRule="auto"/>
                    <w:rPr>
                      <w:rFonts w:ascii="Helvetica" w:eastAsia="Calibri" w:hAnsi="Helvetica" w:cs="Helvetica"/>
                      <w:color w:val="101112"/>
                      <w:sz w:val="21"/>
                      <w:szCs w:val="21"/>
                    </w:rPr>
                  </w:pPr>
                  <w:r w:rsidRPr="00DA36A1">
                    <w:rPr>
                      <w:rFonts w:ascii="Helvetica" w:eastAsia="Calibri" w:hAnsi="Helvetica" w:cs="Helvetica"/>
                      <w:color w:val="101112"/>
                      <w:sz w:val="21"/>
                      <w:szCs w:val="21"/>
                    </w:rPr>
                    <w:t>Michelle Radcliffe, Executive Director for Livingston ESA Career Development, said she is “thrilled for Laura to be one of 5 finalists to win the national counseling and career development award. Her passion, dedication, and community relations are unmatched, and our students in Livingston County benefit every day because of Laura's work.” </w:t>
                  </w:r>
                </w:p>
                <w:p w14:paraId="6B934163" w14:textId="77777777" w:rsidR="00DA36A1" w:rsidRPr="00DA36A1" w:rsidRDefault="00DA36A1" w:rsidP="00DA36A1">
                  <w:pPr>
                    <w:spacing w:after="0" w:line="360" w:lineRule="auto"/>
                    <w:rPr>
                      <w:rFonts w:ascii="Helvetica" w:eastAsia="Calibri" w:hAnsi="Helvetica" w:cs="Helvetica"/>
                      <w:color w:val="101112"/>
                      <w:sz w:val="21"/>
                      <w:szCs w:val="21"/>
                    </w:rPr>
                  </w:pPr>
                  <w:r w:rsidRPr="00DA36A1">
                    <w:rPr>
                      <w:rFonts w:ascii="Helvetica" w:eastAsia="Calibri" w:hAnsi="Helvetica" w:cs="Helvetica"/>
                      <w:color w:val="101112"/>
                      <w:sz w:val="21"/>
                      <w:szCs w:val="21"/>
                    </w:rPr>
                    <w:t xml:space="preserve">Saline is one of five finalists for the 2023 national title. The national winner will be announced at the </w:t>
                  </w:r>
                  <w:hyperlink r:id="rId7" w:tgtFrame="_blank" w:history="1">
                    <w:r w:rsidRPr="00DA36A1">
                      <w:rPr>
                        <w:rFonts w:ascii="Helvetica" w:eastAsia="Calibri" w:hAnsi="Helvetica" w:cs="Helvetica"/>
                        <w:color w:val="603F98"/>
                        <w:sz w:val="21"/>
                        <w:szCs w:val="21"/>
                        <w:u w:val="single"/>
                      </w:rPr>
                      <w:t>ACTE Awards Gala</w:t>
                    </w:r>
                  </w:hyperlink>
                  <w:r w:rsidRPr="00DA36A1">
                    <w:rPr>
                      <w:rFonts w:ascii="Helvetica" w:eastAsia="Calibri" w:hAnsi="Helvetica" w:cs="Helvetica"/>
                      <w:color w:val="101112"/>
                      <w:sz w:val="21"/>
                      <w:szCs w:val="21"/>
                    </w:rPr>
                    <w:t>, an award presentation recognizing the best CTE educators in the country. The event will occur on November 30, 2022, at 7:00 p.m.</w:t>
                  </w:r>
                </w:p>
              </w:tc>
            </w:tr>
          </w:tbl>
          <w:p w14:paraId="41081BF5" w14:textId="77777777" w:rsidR="00DA36A1" w:rsidRPr="00DA36A1" w:rsidRDefault="00DA36A1" w:rsidP="00DA36A1">
            <w:pPr>
              <w:spacing w:after="0" w:line="240" w:lineRule="auto"/>
              <w:rPr>
                <w:rFonts w:ascii="Calibri" w:eastAsia="Calibri" w:hAnsi="Calibri" w:cs="Times New Roman"/>
              </w:rPr>
            </w:pPr>
          </w:p>
        </w:tc>
      </w:tr>
    </w:tbl>
    <w:p w14:paraId="357EC5B2" w14:textId="77777777" w:rsidR="00165ABA" w:rsidRDefault="00165ABA"/>
    <w:sectPr w:rsidR="00165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A1"/>
    <w:rsid w:val="00165ABA"/>
    <w:rsid w:val="00DA3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17D5"/>
  <w15:chartTrackingRefBased/>
  <w15:docId w15:val="{43880A13-902E-4C08-96EF-5FAD08BD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39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reertechvision.com/awards.c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Damon@LivingstonESA.org"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2716</Characters>
  <Application>Microsoft Office Word</Application>
  <DocSecurity>0</DocSecurity>
  <Lines>59</Lines>
  <Paragraphs>16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WHMI News</dc:creator>
  <cp:keywords/>
  <dc:description/>
  <cp:lastModifiedBy>WHMI News</cp:lastModifiedBy>
  <cp:revision>1</cp:revision>
  <dcterms:created xsi:type="dcterms:W3CDTF">2022-10-10T23:09:00Z</dcterms:created>
  <dcterms:modified xsi:type="dcterms:W3CDTF">2022-10-10T23:10:00Z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0542ba5f-a296-4f32-b4f4-fbeff8f056a4</vt:lpwstr>
  </property>
</Properties>
</file>