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BE" w:rsidRPr="00BD02AB" w:rsidRDefault="008F7079" w:rsidP="005744BE">
      <w:pPr>
        <w:jc w:val="center"/>
        <w:rPr>
          <w:b/>
          <w:sz w:val="44"/>
          <w:szCs w:val="44"/>
        </w:rPr>
      </w:pPr>
      <w:r>
        <w:rPr>
          <w:b/>
          <w:noProof/>
          <w:sz w:val="44"/>
          <w:szCs w:val="44"/>
        </w:rPr>
        <w:drawing>
          <wp:inline distT="0" distB="0" distL="0" distR="0">
            <wp:extent cx="656682" cy="9262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nFac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1915" cy="933637"/>
                    </a:xfrm>
                    <a:prstGeom prst="rect">
                      <a:avLst/>
                    </a:prstGeom>
                  </pic:spPr>
                </pic:pic>
              </a:graphicData>
            </a:graphic>
          </wp:inline>
        </w:drawing>
      </w:r>
      <w:r w:rsidR="005744BE" w:rsidRPr="00BD02AB">
        <w:rPr>
          <w:b/>
          <w:sz w:val="44"/>
          <w:szCs w:val="44"/>
        </w:rPr>
        <w:t>The Joyce A. Powers Memorial Lecture</w:t>
      </w:r>
    </w:p>
    <w:p w:rsidR="005744BE" w:rsidRPr="003116AE" w:rsidRDefault="005744BE" w:rsidP="005744BE">
      <w:pPr>
        <w:widowControl w:val="0"/>
        <w:autoSpaceDE w:val="0"/>
        <w:autoSpaceDN w:val="0"/>
        <w:adjustRightInd w:val="0"/>
        <w:jc w:val="center"/>
        <w:rPr>
          <w:rFonts w:ascii="Book Antiqua" w:hAnsi="Book Antiqua" w:cs="Book Antiqua"/>
          <w:b/>
          <w:szCs w:val="24"/>
        </w:rPr>
      </w:pPr>
      <w:r w:rsidRPr="003116AE">
        <w:rPr>
          <w:rFonts w:ascii="Book Antiqua" w:hAnsi="Book Antiqua" w:cs="Book Antiqua"/>
          <w:b/>
          <w:szCs w:val="24"/>
        </w:rPr>
        <w:t>Sponsored by the Brighton Area Women’s History Roll of Honor</w:t>
      </w:r>
    </w:p>
    <w:p w:rsidR="005744BE" w:rsidRPr="00413C0D" w:rsidRDefault="005744BE" w:rsidP="005744BE">
      <w:pPr>
        <w:widowControl w:val="0"/>
        <w:autoSpaceDE w:val="0"/>
        <w:autoSpaceDN w:val="0"/>
        <w:adjustRightInd w:val="0"/>
        <w:jc w:val="center"/>
        <w:rPr>
          <w:rFonts w:ascii="Book Antiqua" w:hAnsi="Book Antiqua" w:cs="Book Antiqua"/>
          <w:b/>
          <w:sz w:val="20"/>
          <w:szCs w:val="20"/>
        </w:rPr>
      </w:pPr>
    </w:p>
    <w:p w:rsidR="004435B8" w:rsidRPr="004435B8" w:rsidRDefault="004435B8" w:rsidP="004435B8">
      <w:pPr>
        <w:widowControl w:val="0"/>
        <w:autoSpaceDE w:val="0"/>
        <w:autoSpaceDN w:val="0"/>
        <w:adjustRightInd w:val="0"/>
        <w:jc w:val="center"/>
        <w:rPr>
          <w:rFonts w:ascii="Book Antiqua" w:hAnsi="Book Antiqua" w:cs="Book Antiqua"/>
          <w:b/>
          <w:sz w:val="28"/>
          <w:szCs w:val="28"/>
        </w:rPr>
      </w:pPr>
      <w:r w:rsidRPr="004435B8">
        <w:rPr>
          <w:rFonts w:ascii="Book Antiqua" w:hAnsi="Book Antiqua" w:cs="Book Antiqua"/>
          <w:b/>
          <w:sz w:val="36"/>
          <w:szCs w:val="36"/>
        </w:rPr>
        <w:t>Thursday, March 6, 6:30pm</w:t>
      </w:r>
      <w:r w:rsidRPr="004435B8">
        <w:rPr>
          <w:rFonts w:ascii="Book Antiqua" w:hAnsi="Book Antiqua" w:cs="Book Antiqua"/>
          <w:b/>
          <w:sz w:val="36"/>
          <w:szCs w:val="36"/>
        </w:rPr>
        <w:br/>
      </w:r>
      <w:r w:rsidRPr="004435B8">
        <w:rPr>
          <w:rFonts w:ascii="Book Antiqua" w:hAnsi="Book Antiqua" w:cs="Book Antiqua"/>
          <w:b/>
          <w:sz w:val="28"/>
          <w:szCs w:val="28"/>
        </w:rPr>
        <w:t>Oak Pointe Country Club</w:t>
      </w:r>
    </w:p>
    <w:p w:rsidR="004435B8" w:rsidRPr="004435B8" w:rsidRDefault="004435B8" w:rsidP="004435B8">
      <w:pPr>
        <w:widowControl w:val="0"/>
        <w:autoSpaceDE w:val="0"/>
        <w:autoSpaceDN w:val="0"/>
        <w:adjustRightInd w:val="0"/>
        <w:jc w:val="center"/>
        <w:rPr>
          <w:rFonts w:ascii="Book Antiqua" w:hAnsi="Book Antiqua" w:cs="Book Antiqua"/>
          <w:i/>
          <w:szCs w:val="24"/>
        </w:rPr>
      </w:pPr>
      <w:r w:rsidRPr="004435B8">
        <w:rPr>
          <w:rFonts w:ascii="Book Antiqua" w:hAnsi="Book Antiqua" w:cs="Book Antiqua"/>
          <w:i/>
          <w:szCs w:val="24"/>
        </w:rPr>
        <w:t>Event is Free &amp; Open to the Community</w:t>
      </w:r>
    </w:p>
    <w:p w:rsidR="004435B8" w:rsidRPr="00413C0D" w:rsidRDefault="004435B8" w:rsidP="004435B8">
      <w:pPr>
        <w:widowControl w:val="0"/>
        <w:autoSpaceDE w:val="0"/>
        <w:autoSpaceDN w:val="0"/>
        <w:adjustRightInd w:val="0"/>
        <w:jc w:val="center"/>
        <w:rPr>
          <w:rFonts w:ascii="Book Antiqua" w:hAnsi="Book Antiqua" w:cs="Book Antiqua"/>
          <w:i/>
          <w:sz w:val="28"/>
          <w:szCs w:val="28"/>
        </w:rPr>
      </w:pPr>
    </w:p>
    <w:p w:rsidR="004435B8" w:rsidRPr="004435B8" w:rsidRDefault="004435B8" w:rsidP="004435B8">
      <w:pPr>
        <w:widowControl w:val="0"/>
        <w:autoSpaceDE w:val="0"/>
        <w:autoSpaceDN w:val="0"/>
        <w:adjustRightInd w:val="0"/>
        <w:jc w:val="center"/>
        <w:rPr>
          <w:rFonts w:ascii="Book Antiqua" w:hAnsi="Book Antiqua" w:cs="Book Antiqua"/>
          <w:b/>
          <w:sz w:val="32"/>
          <w:szCs w:val="32"/>
        </w:rPr>
      </w:pPr>
      <w:r w:rsidRPr="004435B8">
        <w:rPr>
          <w:rFonts w:ascii="Book Antiqua" w:hAnsi="Book Antiqua" w:cs="Book Antiqua"/>
          <w:b/>
          <w:sz w:val="32"/>
          <w:szCs w:val="32"/>
        </w:rPr>
        <w:t>Featuring</w:t>
      </w:r>
    </w:p>
    <w:p w:rsidR="004435B8" w:rsidRPr="00FA2A3F" w:rsidRDefault="004435B8" w:rsidP="004435B8">
      <w:pPr>
        <w:widowControl w:val="0"/>
        <w:autoSpaceDE w:val="0"/>
        <w:autoSpaceDN w:val="0"/>
        <w:adjustRightInd w:val="0"/>
        <w:jc w:val="center"/>
        <w:rPr>
          <w:rFonts w:ascii="Book Antiqua" w:hAnsi="Book Antiqua" w:cs="Book Antiqua"/>
          <w:b/>
          <w:sz w:val="22"/>
        </w:rPr>
      </w:pPr>
    </w:p>
    <w:p w:rsidR="004435B8" w:rsidRDefault="004435B8" w:rsidP="004435B8">
      <w:pPr>
        <w:widowControl w:val="0"/>
        <w:autoSpaceDE w:val="0"/>
        <w:autoSpaceDN w:val="0"/>
        <w:adjustRightInd w:val="0"/>
        <w:jc w:val="center"/>
        <w:rPr>
          <w:rFonts w:ascii="Book Antiqua" w:hAnsi="Book Antiqua" w:cs="Book Antiqua"/>
          <w:b/>
          <w:sz w:val="44"/>
          <w:szCs w:val="44"/>
        </w:rPr>
      </w:pPr>
      <w:r>
        <w:rPr>
          <w:rFonts w:ascii="Book Antiqua" w:hAnsi="Book Antiqua" w:cs="Book Antiqua"/>
          <w:b/>
          <w:noProof/>
          <w:sz w:val="44"/>
          <w:szCs w:val="44"/>
        </w:rPr>
        <w:drawing>
          <wp:inline distT="0" distB="0" distL="0" distR="0" wp14:anchorId="537D7A4B" wp14:editId="0FC961D2">
            <wp:extent cx="1356360" cy="1261730"/>
            <wp:effectExtent l="0" t="0" r="0" b="0"/>
            <wp:docPr id="202182476"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2476" name="Picture 1" descr="A person smiling at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8368" cy="1272900"/>
                    </a:xfrm>
                    <a:prstGeom prst="rect">
                      <a:avLst/>
                    </a:prstGeom>
                  </pic:spPr>
                </pic:pic>
              </a:graphicData>
            </a:graphic>
          </wp:inline>
        </w:drawing>
      </w:r>
      <w:r>
        <w:rPr>
          <w:rFonts w:ascii="Book Antiqua" w:hAnsi="Book Antiqua" w:cs="Book Antiqua"/>
          <w:b/>
          <w:sz w:val="44"/>
          <w:szCs w:val="44"/>
        </w:rPr>
        <w:t xml:space="preserve">     </w:t>
      </w:r>
      <w:r>
        <w:rPr>
          <w:rFonts w:ascii="Book Antiqua" w:hAnsi="Book Antiqua" w:cs="Book Antiqua"/>
          <w:b/>
          <w:noProof/>
          <w:sz w:val="44"/>
          <w:szCs w:val="44"/>
        </w:rPr>
        <w:drawing>
          <wp:inline distT="0" distB="0" distL="0" distR="0" wp14:anchorId="3BBA6F36" wp14:editId="7A492DC0">
            <wp:extent cx="1550670" cy="1216212"/>
            <wp:effectExtent l="0" t="0" r="0" b="3175"/>
            <wp:docPr id="15977262" name="Picture 2" descr="A group of people in a spac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62" name="Picture 2" descr="A group of people in a space su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4744" cy="1227251"/>
                    </a:xfrm>
                    <a:prstGeom prst="rect">
                      <a:avLst/>
                    </a:prstGeom>
                  </pic:spPr>
                </pic:pic>
              </a:graphicData>
            </a:graphic>
          </wp:inline>
        </w:drawing>
      </w:r>
    </w:p>
    <w:p w:rsidR="004435B8" w:rsidRPr="00413C0D" w:rsidRDefault="004435B8" w:rsidP="004435B8">
      <w:pPr>
        <w:widowControl w:val="0"/>
        <w:autoSpaceDE w:val="0"/>
        <w:autoSpaceDN w:val="0"/>
        <w:adjustRightInd w:val="0"/>
        <w:jc w:val="center"/>
        <w:rPr>
          <w:rFonts w:ascii="Book Antiqua" w:hAnsi="Book Antiqua" w:cs="Book Antiqua"/>
          <w:b/>
          <w:sz w:val="20"/>
          <w:szCs w:val="20"/>
        </w:rPr>
      </w:pPr>
    </w:p>
    <w:p w:rsidR="004435B8" w:rsidRPr="004435B8" w:rsidRDefault="004435B8" w:rsidP="004435B8">
      <w:pPr>
        <w:widowControl w:val="0"/>
        <w:autoSpaceDE w:val="0"/>
        <w:autoSpaceDN w:val="0"/>
        <w:adjustRightInd w:val="0"/>
        <w:jc w:val="center"/>
        <w:rPr>
          <w:rFonts w:ascii="Book Antiqua" w:hAnsi="Book Antiqua" w:cs="Book Antiqua"/>
          <w:b/>
          <w:sz w:val="44"/>
          <w:szCs w:val="44"/>
        </w:rPr>
      </w:pPr>
      <w:r w:rsidRPr="004435B8">
        <w:rPr>
          <w:rFonts w:ascii="Book Antiqua" w:hAnsi="Book Antiqua" w:cs="Book Antiqua"/>
          <w:b/>
          <w:sz w:val="44"/>
          <w:szCs w:val="44"/>
        </w:rPr>
        <w:t>Dr. Kathryn Clark</w:t>
      </w:r>
    </w:p>
    <w:p w:rsidR="004435B8" w:rsidRPr="004435B8" w:rsidRDefault="004435B8" w:rsidP="004435B8">
      <w:pPr>
        <w:widowControl w:val="0"/>
        <w:autoSpaceDE w:val="0"/>
        <w:autoSpaceDN w:val="0"/>
        <w:adjustRightInd w:val="0"/>
        <w:jc w:val="center"/>
        <w:rPr>
          <w:rFonts w:ascii="Book Antiqua" w:hAnsi="Book Antiqua" w:cs="Book Antiqua"/>
          <w:b/>
          <w:sz w:val="32"/>
          <w:szCs w:val="32"/>
        </w:rPr>
      </w:pPr>
      <w:proofErr w:type="gramStart"/>
      <w:r w:rsidRPr="004435B8">
        <w:rPr>
          <w:rFonts w:ascii="Book Antiqua" w:hAnsi="Book Antiqua" w:cs="Book Antiqua"/>
          <w:b/>
          <w:sz w:val="32"/>
          <w:szCs w:val="32"/>
        </w:rPr>
        <w:t>former</w:t>
      </w:r>
      <w:proofErr w:type="gramEnd"/>
      <w:r w:rsidRPr="004435B8">
        <w:rPr>
          <w:rFonts w:ascii="Book Antiqua" w:hAnsi="Book Antiqua" w:cs="Book Antiqua"/>
          <w:b/>
          <w:sz w:val="32"/>
          <w:szCs w:val="32"/>
        </w:rPr>
        <w:t xml:space="preserve"> International Space Station Senior Scientist and </w:t>
      </w:r>
      <w:r>
        <w:rPr>
          <w:rFonts w:ascii="Book Antiqua" w:hAnsi="Book Antiqua" w:cs="Book Antiqua"/>
          <w:b/>
          <w:sz w:val="32"/>
          <w:szCs w:val="32"/>
        </w:rPr>
        <w:br/>
      </w:r>
      <w:r w:rsidRPr="004435B8">
        <w:rPr>
          <w:rFonts w:ascii="Book Antiqua" w:hAnsi="Book Antiqua" w:cs="Book Antiqua"/>
          <w:b/>
          <w:sz w:val="32"/>
          <w:szCs w:val="32"/>
        </w:rPr>
        <w:t>former Chief Scientist for Human Spaceflight</w:t>
      </w:r>
    </w:p>
    <w:p w:rsidR="004435B8" w:rsidRDefault="004435B8" w:rsidP="004435B8">
      <w:pPr>
        <w:widowControl w:val="0"/>
        <w:autoSpaceDE w:val="0"/>
        <w:autoSpaceDN w:val="0"/>
        <w:adjustRightInd w:val="0"/>
        <w:jc w:val="center"/>
        <w:rPr>
          <w:rFonts w:ascii="Book Antiqua" w:hAnsi="Book Antiqua" w:cs="Book Antiqua"/>
          <w:b/>
          <w:szCs w:val="24"/>
        </w:rPr>
      </w:pPr>
    </w:p>
    <w:p w:rsidR="004435B8" w:rsidRPr="004435B8" w:rsidRDefault="004435B8" w:rsidP="004435B8">
      <w:pPr>
        <w:widowControl w:val="0"/>
        <w:autoSpaceDE w:val="0"/>
        <w:autoSpaceDN w:val="0"/>
        <w:adjustRightInd w:val="0"/>
        <w:jc w:val="center"/>
        <w:rPr>
          <w:rFonts w:ascii="Book Antiqua" w:hAnsi="Book Antiqua" w:cs="Book Antiqua"/>
          <w:b/>
          <w:sz w:val="52"/>
          <w:szCs w:val="52"/>
        </w:rPr>
      </w:pPr>
      <w:r w:rsidRPr="004435B8">
        <w:rPr>
          <w:rFonts w:ascii="Book Antiqua" w:hAnsi="Book Antiqua" w:cs="Book Antiqua"/>
          <w:b/>
          <w:sz w:val="52"/>
          <w:szCs w:val="52"/>
        </w:rPr>
        <w:t>NASA:  Title IX in Science and Engineering</w:t>
      </w:r>
    </w:p>
    <w:p w:rsidR="004435B8" w:rsidRDefault="004435B8" w:rsidP="004435B8">
      <w:pPr>
        <w:jc w:val="center"/>
        <w:rPr>
          <w:i/>
          <w:sz w:val="36"/>
          <w:szCs w:val="36"/>
        </w:rPr>
      </w:pPr>
    </w:p>
    <w:p w:rsidR="004435B8" w:rsidRPr="004435B8" w:rsidRDefault="004435B8" w:rsidP="004435B8">
      <w:pPr>
        <w:jc w:val="center"/>
        <w:rPr>
          <w:b/>
          <w:i/>
          <w:sz w:val="32"/>
          <w:szCs w:val="32"/>
        </w:rPr>
      </w:pPr>
      <w:r w:rsidRPr="004435B8">
        <w:rPr>
          <w:b/>
          <w:i/>
          <w:sz w:val="32"/>
          <w:szCs w:val="32"/>
        </w:rPr>
        <w:t>Announcing the 2025 Class of the Brighton Area Women’s History Roll of Honor</w:t>
      </w:r>
    </w:p>
    <w:p w:rsidR="005744BE" w:rsidRDefault="005744BE" w:rsidP="005744BE">
      <w:pPr>
        <w:rPr>
          <w:rFonts w:cs="Times New Roman"/>
          <w:color w:val="000000"/>
          <w:sz w:val="32"/>
          <w:szCs w:val="32"/>
        </w:rPr>
      </w:pPr>
    </w:p>
    <w:p w:rsidR="004C7DDF" w:rsidRDefault="005744BE" w:rsidP="005744BE">
      <w:pPr>
        <w:rPr>
          <w:rFonts w:cs="Times New Roman"/>
          <w:color w:val="000000"/>
          <w:szCs w:val="24"/>
        </w:rPr>
      </w:pPr>
      <w:r w:rsidRPr="008B02C8">
        <w:rPr>
          <w:rFonts w:cs="Times New Roman"/>
          <w:color w:val="000000"/>
          <w:szCs w:val="24"/>
        </w:rPr>
        <w:t>The 20</w:t>
      </w:r>
      <w:r w:rsidR="004435B8">
        <w:rPr>
          <w:rFonts w:cs="Times New Roman"/>
          <w:color w:val="000000"/>
          <w:szCs w:val="24"/>
        </w:rPr>
        <w:t>25</w:t>
      </w:r>
      <w:r w:rsidRPr="008B02C8">
        <w:rPr>
          <w:rFonts w:cs="Times New Roman"/>
          <w:color w:val="000000"/>
          <w:szCs w:val="24"/>
        </w:rPr>
        <w:t xml:space="preserve"> hon</w:t>
      </w:r>
      <w:r>
        <w:rPr>
          <w:rFonts w:cs="Times New Roman"/>
          <w:color w:val="000000"/>
          <w:szCs w:val="24"/>
        </w:rPr>
        <w:t xml:space="preserve">orees </w:t>
      </w:r>
      <w:r w:rsidR="009B24D3">
        <w:rPr>
          <w:rFonts w:cs="Times New Roman"/>
          <w:color w:val="000000"/>
          <w:szCs w:val="24"/>
        </w:rPr>
        <w:t xml:space="preserve">for the Brighton Area Women’s History Roll of Honor </w:t>
      </w:r>
      <w:r>
        <w:rPr>
          <w:rFonts w:cs="Times New Roman"/>
          <w:color w:val="000000"/>
          <w:szCs w:val="24"/>
        </w:rPr>
        <w:t xml:space="preserve">will be </w:t>
      </w:r>
      <w:r w:rsidR="009B24D3">
        <w:rPr>
          <w:rFonts w:cs="Times New Roman"/>
          <w:color w:val="000000"/>
          <w:szCs w:val="24"/>
        </w:rPr>
        <w:t xml:space="preserve">announced at the </w:t>
      </w:r>
      <w:r w:rsidRPr="008B02C8">
        <w:rPr>
          <w:rFonts w:cs="Times New Roman"/>
          <w:color w:val="000000"/>
          <w:szCs w:val="24"/>
        </w:rPr>
        <w:t>National Women’s History Month</w:t>
      </w:r>
      <w:r w:rsidR="009B24D3">
        <w:rPr>
          <w:rFonts w:cs="Times New Roman"/>
          <w:color w:val="000000"/>
          <w:szCs w:val="24"/>
        </w:rPr>
        <w:t xml:space="preserve">, </w:t>
      </w:r>
      <w:r w:rsidRPr="009B24D3">
        <w:rPr>
          <w:rFonts w:cs="Times New Roman"/>
          <w:i/>
          <w:color w:val="000000"/>
          <w:szCs w:val="24"/>
        </w:rPr>
        <w:t>Joyce A. Powers Memorial Lecture</w:t>
      </w:r>
      <w:r w:rsidR="004435B8">
        <w:rPr>
          <w:rFonts w:cs="Times New Roman"/>
          <w:color w:val="000000"/>
          <w:szCs w:val="24"/>
        </w:rPr>
        <w:t xml:space="preserve"> on March 6</w:t>
      </w:r>
      <w:r w:rsidR="009B24D3">
        <w:rPr>
          <w:rFonts w:cs="Times New Roman"/>
          <w:color w:val="000000"/>
          <w:szCs w:val="24"/>
        </w:rPr>
        <w:t xml:space="preserve">, </w:t>
      </w:r>
      <w:r w:rsidR="004435B8">
        <w:rPr>
          <w:rFonts w:cs="Times New Roman"/>
          <w:color w:val="000000"/>
          <w:szCs w:val="24"/>
        </w:rPr>
        <w:t>6:30</w:t>
      </w:r>
      <w:r w:rsidR="004C7DDF">
        <w:rPr>
          <w:rFonts w:cs="Times New Roman"/>
          <w:color w:val="000000"/>
          <w:szCs w:val="24"/>
        </w:rPr>
        <w:t xml:space="preserve">pm, </w:t>
      </w:r>
      <w:r w:rsidR="009B24D3">
        <w:rPr>
          <w:rFonts w:cs="Times New Roman"/>
          <w:color w:val="000000"/>
          <w:szCs w:val="24"/>
        </w:rPr>
        <w:t>Oak Pointe Country Club, 4500 Club Drive, Brighton, MI 48116</w:t>
      </w:r>
      <w:bookmarkStart w:id="0" w:name="_GoBack"/>
      <w:bookmarkEnd w:id="0"/>
      <w:r w:rsidR="009B24D3">
        <w:rPr>
          <w:rFonts w:cs="Times New Roman"/>
          <w:color w:val="000000"/>
          <w:szCs w:val="24"/>
        </w:rPr>
        <w:t xml:space="preserve"> </w:t>
      </w:r>
    </w:p>
    <w:p w:rsidR="004C7DDF" w:rsidRDefault="004C7DDF" w:rsidP="005744BE">
      <w:pPr>
        <w:rPr>
          <w:rFonts w:cs="Times New Roman"/>
          <w:color w:val="000000"/>
          <w:szCs w:val="24"/>
        </w:rPr>
      </w:pPr>
    </w:p>
    <w:p w:rsidR="004435B8" w:rsidRDefault="008F7079">
      <w:r>
        <w:t xml:space="preserve">Dynamic, </w:t>
      </w:r>
      <w:r w:rsidR="004435B8">
        <w:t xml:space="preserve">respected former NASA Chief Scientist for Human Spaceflight at Dr. Kathryn Clark </w:t>
      </w:r>
      <w:r w:rsidR="004C7DDF">
        <w:t>will s</w:t>
      </w:r>
      <w:r w:rsidR="00BD02AB">
        <w:t xml:space="preserve">hare inspiring stories </w:t>
      </w:r>
      <w:r w:rsidR="004435B8">
        <w:t>and examples of how Title IX has impacted Science and Engineering at NASA and beyond.</w:t>
      </w:r>
    </w:p>
    <w:p w:rsidR="005744BE" w:rsidRDefault="005744BE">
      <w:pPr>
        <w:rPr>
          <w:rFonts w:cs="Times New Roman"/>
          <w:szCs w:val="24"/>
        </w:rPr>
      </w:pPr>
    </w:p>
    <w:p w:rsidR="00C24CDF" w:rsidRPr="009B24D3" w:rsidRDefault="003116AE">
      <w:pPr>
        <w:rPr>
          <w:rFonts w:cs="Times New Roman"/>
          <w:szCs w:val="24"/>
        </w:rPr>
      </w:pPr>
      <w:r>
        <w:rPr>
          <w:rFonts w:cs="Times New Roman"/>
          <w:szCs w:val="24"/>
        </w:rPr>
        <w:t>Joyce A. Powers</w:t>
      </w:r>
      <w:r w:rsidR="00836550">
        <w:rPr>
          <w:rFonts w:cs="Times New Roman"/>
          <w:szCs w:val="24"/>
        </w:rPr>
        <w:t xml:space="preserve"> (1934-2022) moved to Brighton in 1967 </w:t>
      </w:r>
      <w:r w:rsidR="008F7079">
        <w:rPr>
          <w:rFonts w:cs="Times New Roman"/>
          <w:szCs w:val="24"/>
        </w:rPr>
        <w:t xml:space="preserve">and </w:t>
      </w:r>
      <w:r w:rsidR="00836550">
        <w:rPr>
          <w:rFonts w:cs="Times New Roman"/>
          <w:szCs w:val="24"/>
        </w:rPr>
        <w:t xml:space="preserve">was </w:t>
      </w:r>
      <w:r w:rsidR="00F119F6">
        <w:rPr>
          <w:rFonts w:cs="Times New Roman"/>
          <w:szCs w:val="24"/>
        </w:rPr>
        <w:t xml:space="preserve">a </w:t>
      </w:r>
      <w:r w:rsidR="008F7079">
        <w:rPr>
          <w:rFonts w:cs="Times New Roman"/>
          <w:szCs w:val="24"/>
        </w:rPr>
        <w:t xml:space="preserve">25-year </w:t>
      </w:r>
      <w:r w:rsidR="00F119F6">
        <w:rPr>
          <w:rFonts w:cs="Times New Roman"/>
          <w:szCs w:val="24"/>
        </w:rPr>
        <w:t>teacher and media specialist for Ann Arb</w:t>
      </w:r>
      <w:r w:rsidR="008F7079">
        <w:rPr>
          <w:rFonts w:cs="Times New Roman"/>
          <w:szCs w:val="24"/>
        </w:rPr>
        <w:t>or Public Schools</w:t>
      </w:r>
      <w:r w:rsidR="00F119F6">
        <w:rPr>
          <w:rFonts w:cs="Times New Roman"/>
          <w:szCs w:val="24"/>
        </w:rPr>
        <w:t xml:space="preserve">.  She served on the Brighton Board of Education four terms and was Board Secretary. Joyce exhibited a positive, can-do attitude throughout her life and frequently shared articles, books, and insights with others to spur examination and discussions.  A lover of education, the arts, athletics, and the empowerment of women, Joyce co-founded the Brighton Area Women’s History Roll of Honor in 2003 to recognize the amazing accomplishments of area women.  Her leadership, guidance, and passion for the Roll of Honor has blossomed </w:t>
      </w:r>
      <w:r w:rsidR="004435B8">
        <w:rPr>
          <w:rFonts w:cs="Times New Roman"/>
          <w:szCs w:val="24"/>
        </w:rPr>
        <w:t>into a current membership of 124</w:t>
      </w:r>
      <w:r w:rsidR="00F119F6">
        <w:rPr>
          <w:rFonts w:cs="Times New Roman"/>
          <w:szCs w:val="24"/>
        </w:rPr>
        <w:t xml:space="preserve"> women from all walks of life.  Joyce’s legacy is recognized through this </w:t>
      </w:r>
      <w:r w:rsidR="004435B8">
        <w:rPr>
          <w:rFonts w:cs="Times New Roman"/>
          <w:szCs w:val="24"/>
        </w:rPr>
        <w:t>third</w:t>
      </w:r>
      <w:r w:rsidR="00BD02AB">
        <w:rPr>
          <w:rFonts w:cs="Times New Roman"/>
          <w:szCs w:val="24"/>
        </w:rPr>
        <w:t xml:space="preserve"> annual</w:t>
      </w:r>
      <w:r w:rsidR="00F119F6">
        <w:rPr>
          <w:rFonts w:cs="Times New Roman"/>
          <w:szCs w:val="24"/>
        </w:rPr>
        <w:t xml:space="preserve"> Joyce A. Powers Memorial Lecture sponsored by the Brighton Area Women’s History Roll of Honor</w:t>
      </w:r>
    </w:p>
    <w:sectPr w:rsidR="00C24CDF" w:rsidRPr="009B24D3" w:rsidSect="008F7079">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BE"/>
    <w:rsid w:val="00016854"/>
    <w:rsid w:val="00087139"/>
    <w:rsid w:val="00191155"/>
    <w:rsid w:val="003116AE"/>
    <w:rsid w:val="004435B8"/>
    <w:rsid w:val="004C7DDF"/>
    <w:rsid w:val="005744BE"/>
    <w:rsid w:val="006D0A40"/>
    <w:rsid w:val="00836550"/>
    <w:rsid w:val="008F7079"/>
    <w:rsid w:val="009B24D3"/>
    <w:rsid w:val="00BD02AB"/>
    <w:rsid w:val="00C24CDF"/>
    <w:rsid w:val="00C9605A"/>
    <w:rsid w:val="00DF1C39"/>
    <w:rsid w:val="00F1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1A9FB-5BD8-47BF-A8E7-F8DE310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B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4BE"/>
    <w:rPr>
      <w:rFonts w:asciiTheme="minorHAnsi" w:hAnsiTheme="minorHAnsi" w:cstheme="minorBidi"/>
      <w:sz w:val="22"/>
    </w:rPr>
  </w:style>
  <w:style w:type="paragraph" w:styleId="BalloonText">
    <w:name w:val="Balloon Text"/>
    <w:basedOn w:val="Normal"/>
    <w:link w:val="BalloonTextChar"/>
    <w:uiPriority w:val="99"/>
    <w:semiHidden/>
    <w:unhideWhenUsed/>
    <w:rsid w:val="0031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2025-02-11T16:30:00Z</cp:lastPrinted>
  <dcterms:created xsi:type="dcterms:W3CDTF">2025-02-11T16:26:00Z</dcterms:created>
  <dcterms:modified xsi:type="dcterms:W3CDTF">2025-02-11T17:12:00Z</dcterms:modified>
</cp:coreProperties>
</file>